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0F30B" w14:textId="022179D3" w:rsidR="00590DB8" w:rsidRPr="00590DB8" w:rsidRDefault="00590DB8" w:rsidP="00590DB8">
      <w:pPr>
        <w:spacing w:after="160" w:line="259" w:lineRule="auto"/>
        <w:jc w:val="both"/>
        <w:rPr>
          <w:rFonts w:ascii="Cambria" w:eastAsiaTheme="minorHAnsi" w:hAnsi="Cambria"/>
          <w:b/>
          <w:bCs/>
          <w:sz w:val="24"/>
          <w:szCs w:val="24"/>
          <w:lang w:eastAsia="en-US"/>
        </w:rPr>
      </w:pPr>
      <w:r w:rsidRPr="00590DB8">
        <w:rPr>
          <w:rFonts w:ascii="Cambria" w:eastAsiaTheme="minorHAnsi" w:hAnsi="Cambria"/>
          <w:b/>
          <w:bCs/>
          <w:sz w:val="24"/>
          <w:szCs w:val="24"/>
          <w:lang w:eastAsia="en-US"/>
        </w:rPr>
        <w:t>Compte rendu du conseil d’équipe du 1</w:t>
      </w:r>
      <w:r w:rsidR="008C6C6B">
        <w:rPr>
          <w:rFonts w:ascii="Cambria" w:eastAsiaTheme="minorHAnsi" w:hAnsi="Cambria"/>
          <w:b/>
          <w:bCs/>
          <w:sz w:val="24"/>
          <w:szCs w:val="24"/>
          <w:lang w:eastAsia="en-US"/>
        </w:rPr>
        <w:t>4</w:t>
      </w:r>
      <w:bookmarkStart w:id="0" w:name="_GoBack"/>
      <w:bookmarkEnd w:id="0"/>
      <w:r w:rsidRPr="00590DB8">
        <w:rPr>
          <w:rFonts w:ascii="Cambria" w:eastAsiaTheme="minorHAnsi" w:hAnsi="Cambria"/>
          <w:b/>
          <w:bCs/>
          <w:sz w:val="24"/>
          <w:szCs w:val="24"/>
          <w:lang w:eastAsia="en-US"/>
        </w:rPr>
        <w:t>/11/2019</w:t>
      </w:r>
    </w:p>
    <w:p w14:paraId="2B88CAA8" w14:textId="77777777" w:rsidR="00590DB8" w:rsidRPr="00590DB8" w:rsidRDefault="00590DB8" w:rsidP="00590DB8">
      <w:pPr>
        <w:spacing w:after="160" w:line="259" w:lineRule="auto"/>
        <w:jc w:val="both"/>
        <w:rPr>
          <w:rFonts w:ascii="Cambria" w:eastAsiaTheme="minorHAnsi" w:hAnsi="Cambria"/>
          <w:sz w:val="24"/>
          <w:szCs w:val="24"/>
          <w:lang w:eastAsia="en-US"/>
        </w:rPr>
      </w:pPr>
      <w:r w:rsidRPr="00590DB8">
        <w:rPr>
          <w:rFonts w:ascii="Cambria" w:eastAsiaTheme="minorHAnsi" w:hAnsi="Cambria"/>
          <w:sz w:val="24"/>
          <w:szCs w:val="24"/>
          <w:lang w:eastAsia="en-US"/>
        </w:rPr>
        <w:t>Présents : Dominique Breton, Joy Courret, Raphaël Estève, Nuria Rodríguez Lázaro, Julia Roumier, Laurence Mullaly, Lise Segas, Ronald Soto Quiros</w:t>
      </w:r>
    </w:p>
    <w:p w14:paraId="39D36AD2" w14:textId="77777777" w:rsidR="00590DB8" w:rsidRPr="00590DB8" w:rsidRDefault="00590DB8" w:rsidP="00590DB8">
      <w:pPr>
        <w:spacing w:after="160" w:line="259" w:lineRule="auto"/>
        <w:jc w:val="both"/>
        <w:rPr>
          <w:rFonts w:ascii="Cambria" w:eastAsiaTheme="minorHAnsi" w:hAnsi="Cambria"/>
          <w:sz w:val="24"/>
          <w:szCs w:val="24"/>
          <w:lang w:eastAsia="en-US"/>
        </w:rPr>
      </w:pPr>
      <w:r w:rsidRPr="00590DB8">
        <w:rPr>
          <w:rFonts w:ascii="Cambria" w:eastAsiaTheme="minorHAnsi" w:hAnsi="Cambria"/>
          <w:sz w:val="24"/>
          <w:szCs w:val="24"/>
          <w:lang w:eastAsia="en-US"/>
        </w:rPr>
        <w:t>Représentés : Elvezio Canonical, Vanessa Saint Martin</w:t>
      </w:r>
    </w:p>
    <w:p w14:paraId="7EB5C151" w14:textId="77777777" w:rsidR="00590DB8" w:rsidRPr="00590DB8" w:rsidRDefault="00590DB8" w:rsidP="00590DB8">
      <w:pPr>
        <w:spacing w:after="160" w:line="259" w:lineRule="auto"/>
        <w:jc w:val="both"/>
        <w:rPr>
          <w:rFonts w:ascii="Cambria" w:eastAsiaTheme="minorHAnsi" w:hAnsi="Cambria"/>
          <w:sz w:val="24"/>
          <w:szCs w:val="24"/>
          <w:lang w:eastAsia="en-US"/>
        </w:rPr>
      </w:pPr>
      <w:r w:rsidRPr="00590DB8">
        <w:rPr>
          <w:rFonts w:ascii="Cambria" w:eastAsiaTheme="minorHAnsi" w:hAnsi="Cambria"/>
          <w:sz w:val="24"/>
          <w:szCs w:val="24"/>
          <w:lang w:eastAsia="en-US"/>
        </w:rPr>
        <w:t xml:space="preserve">Excusés : </w:t>
      </w:r>
      <w:r>
        <w:rPr>
          <w:rFonts w:ascii="Cambria" w:eastAsiaTheme="minorHAnsi" w:hAnsi="Cambria"/>
          <w:sz w:val="24"/>
          <w:szCs w:val="24"/>
          <w:lang w:eastAsia="en-US"/>
        </w:rPr>
        <w:t>I</w:t>
      </w:r>
      <w:r w:rsidRPr="00590DB8">
        <w:rPr>
          <w:rFonts w:ascii="Cambria" w:eastAsiaTheme="minorHAnsi" w:hAnsi="Cambria"/>
          <w:sz w:val="24"/>
          <w:szCs w:val="24"/>
          <w:lang w:eastAsia="en-US"/>
        </w:rPr>
        <w:t xml:space="preserve">lana Heidelberg, Cecilia González Scavino </w:t>
      </w:r>
    </w:p>
    <w:p w14:paraId="1DC64820" w14:textId="77777777" w:rsidR="00590DB8" w:rsidRPr="00590DB8" w:rsidRDefault="00590DB8" w:rsidP="00590DB8">
      <w:pPr>
        <w:spacing w:after="160" w:line="259" w:lineRule="auto"/>
        <w:jc w:val="both"/>
        <w:rPr>
          <w:rFonts w:ascii="Cambria" w:eastAsiaTheme="minorHAnsi" w:hAnsi="Cambria"/>
          <w:sz w:val="24"/>
          <w:szCs w:val="24"/>
          <w:lang w:eastAsia="en-US"/>
        </w:rPr>
      </w:pPr>
      <w:r w:rsidRPr="00590DB8">
        <w:rPr>
          <w:rFonts w:ascii="Cambria" w:eastAsiaTheme="minorHAnsi" w:hAnsi="Cambria"/>
          <w:sz w:val="24"/>
          <w:szCs w:val="24"/>
          <w:lang w:eastAsia="en-US"/>
        </w:rPr>
        <w:t>La dotation de l’équipe est cette année de 34058 euros, et compte tenu de cette baisse de 4%, la Direction propose, en se fondant sur l’expérience des exercices précédents, de restreindre la réserve de fonctionnement au fil de l’eau. Ceci afin de continuer à être au plus près des demandes transmises par les centres.</w:t>
      </w:r>
    </w:p>
    <w:p w14:paraId="5AC9A54D" w14:textId="77777777" w:rsidR="00590DB8" w:rsidRPr="00590DB8" w:rsidRDefault="00590DB8" w:rsidP="00590DB8">
      <w:pPr>
        <w:spacing w:after="160" w:line="259" w:lineRule="auto"/>
        <w:jc w:val="both"/>
        <w:rPr>
          <w:rFonts w:ascii="Cambria" w:eastAsiaTheme="minorHAnsi" w:hAnsi="Cambria"/>
          <w:sz w:val="24"/>
          <w:szCs w:val="24"/>
          <w:lang w:eastAsia="en-US"/>
        </w:rPr>
      </w:pPr>
      <w:r w:rsidRPr="00590DB8">
        <w:rPr>
          <w:rFonts w:ascii="Cambria" w:eastAsiaTheme="minorHAnsi" w:hAnsi="Cambria"/>
          <w:sz w:val="24"/>
          <w:szCs w:val="24"/>
          <w:lang w:eastAsia="en-US"/>
        </w:rPr>
        <w:t>Pour ne pas malgré tout engager plus de 80% de la dotation dans le prévisionnel, surtout en cette année où 4 soutenances de thèse, ainsi qu’éventuellement, une soutenance d’HDR sont prévues, la Direction propose pour cette année d’harmoniser la dotation de certains postes, comme notamment les séminaires récurrents des centres, ainsi que les colloques internationaux.</w:t>
      </w:r>
    </w:p>
    <w:p w14:paraId="04D7653A" w14:textId="77777777" w:rsidR="00590DB8" w:rsidRPr="00590DB8" w:rsidRDefault="00590DB8" w:rsidP="00590DB8">
      <w:pPr>
        <w:spacing w:after="160" w:line="259" w:lineRule="auto"/>
        <w:jc w:val="both"/>
        <w:rPr>
          <w:rFonts w:ascii="Cambria" w:eastAsiaTheme="minorHAnsi" w:hAnsi="Cambria"/>
          <w:sz w:val="24"/>
          <w:szCs w:val="24"/>
          <w:lang w:eastAsia="en-US"/>
        </w:rPr>
      </w:pPr>
      <w:r w:rsidRPr="00590DB8">
        <w:rPr>
          <w:rFonts w:ascii="Cambria" w:eastAsiaTheme="minorHAnsi" w:hAnsi="Cambria"/>
          <w:sz w:val="24"/>
          <w:szCs w:val="24"/>
          <w:lang w:eastAsia="en-US"/>
        </w:rPr>
        <w:t>En contrepartie, Raphaël Estève signale qu’il estime plus cohérent, surtout en cette année précédant l’évaluation HCERES, d’enfin doter les publications à une hauteur qu’il estime décente, c’est-à-dire quasiment suffisante pour diligenter la parution sans subir les affres de la sollicitation de subventions complémentaire.</w:t>
      </w:r>
    </w:p>
    <w:p w14:paraId="565304E9" w14:textId="77777777" w:rsidR="00590DB8" w:rsidRPr="00590DB8" w:rsidRDefault="00590DB8" w:rsidP="00590DB8">
      <w:pPr>
        <w:spacing w:after="160" w:line="259" w:lineRule="auto"/>
        <w:jc w:val="both"/>
        <w:rPr>
          <w:rFonts w:ascii="Cambria" w:eastAsiaTheme="minorHAnsi" w:hAnsi="Cambria"/>
          <w:sz w:val="24"/>
          <w:szCs w:val="24"/>
          <w:lang w:eastAsia="en-US"/>
        </w:rPr>
      </w:pPr>
      <w:r w:rsidRPr="00590DB8">
        <w:rPr>
          <w:rFonts w:ascii="Cambria" w:eastAsiaTheme="minorHAnsi" w:hAnsi="Cambria"/>
          <w:sz w:val="24"/>
          <w:szCs w:val="24"/>
          <w:lang w:eastAsia="en-US"/>
        </w:rPr>
        <w:t>S’engage alors une discussion sur deux points.</w:t>
      </w:r>
    </w:p>
    <w:p w14:paraId="49F04A3E" w14:textId="77777777" w:rsidR="00590DB8" w:rsidRPr="00590DB8" w:rsidRDefault="00590DB8" w:rsidP="00590DB8">
      <w:pPr>
        <w:spacing w:after="160" w:line="259" w:lineRule="auto"/>
        <w:jc w:val="both"/>
        <w:rPr>
          <w:rFonts w:ascii="Cambria" w:eastAsiaTheme="minorHAnsi" w:hAnsi="Cambria"/>
          <w:sz w:val="24"/>
          <w:szCs w:val="24"/>
          <w:lang w:eastAsia="en-US"/>
        </w:rPr>
      </w:pPr>
      <w:r w:rsidRPr="00590DB8">
        <w:rPr>
          <w:rFonts w:ascii="Cambria" w:eastAsiaTheme="minorHAnsi" w:hAnsi="Cambria"/>
          <w:sz w:val="24"/>
          <w:szCs w:val="24"/>
          <w:lang w:eastAsia="en-US"/>
        </w:rPr>
        <w:t>Le premier est le questionnement des dotations pérennes : le conseil tient à ce que leur renouvellement, à compter du prochain exercice budgétaire, soit conditionné par l’effectivité de leur production.</w:t>
      </w:r>
    </w:p>
    <w:p w14:paraId="225D0012" w14:textId="77777777" w:rsidR="00590DB8" w:rsidRPr="00590DB8" w:rsidRDefault="00590DB8" w:rsidP="00590DB8">
      <w:pPr>
        <w:spacing w:after="160" w:line="259" w:lineRule="auto"/>
        <w:jc w:val="both"/>
        <w:rPr>
          <w:rFonts w:ascii="Cambria" w:eastAsiaTheme="minorHAnsi" w:hAnsi="Cambria"/>
          <w:sz w:val="24"/>
          <w:szCs w:val="24"/>
          <w:lang w:eastAsia="en-US"/>
        </w:rPr>
      </w:pPr>
      <w:r w:rsidRPr="00590DB8">
        <w:rPr>
          <w:rFonts w:ascii="Cambria" w:eastAsiaTheme="minorHAnsi" w:hAnsi="Cambria"/>
          <w:sz w:val="24"/>
          <w:szCs w:val="24"/>
          <w:lang w:eastAsia="en-US"/>
        </w:rPr>
        <w:t>Le second est l’aide à la publication d’une thèse pour un(e) docteur(e) ayant soutenu au sein d’Ameriber. Le conseil ne parvient pas à un accord formel sur cette question, et la direction s’en remet par conséquent à la prérogative discrétionnaire de chaque équipe sur l’enveloppe globale qui lui est accordée.</w:t>
      </w:r>
    </w:p>
    <w:p w14:paraId="64D87A52" w14:textId="77777777" w:rsidR="00590DB8" w:rsidRPr="00590DB8" w:rsidRDefault="00590DB8" w:rsidP="00590DB8">
      <w:pPr>
        <w:spacing w:after="160" w:line="259" w:lineRule="auto"/>
        <w:jc w:val="both"/>
        <w:rPr>
          <w:rFonts w:ascii="Cambria" w:eastAsiaTheme="minorHAnsi" w:hAnsi="Cambria"/>
          <w:sz w:val="24"/>
          <w:szCs w:val="24"/>
          <w:lang w:eastAsia="en-US"/>
        </w:rPr>
      </w:pPr>
      <w:r w:rsidRPr="00590DB8">
        <w:rPr>
          <w:rFonts w:ascii="Cambria" w:eastAsiaTheme="minorHAnsi" w:hAnsi="Cambria"/>
          <w:sz w:val="24"/>
          <w:szCs w:val="24"/>
          <w:lang w:eastAsia="en-US"/>
        </w:rPr>
        <w:t>Il est procédé au vote du budget, qui est adopté à la majorité des 10 votants (présents et représentés</w:t>
      </w:r>
      <w:proofErr w:type="gramStart"/>
      <w:r w:rsidRPr="00590DB8">
        <w:rPr>
          <w:rFonts w:ascii="Cambria" w:eastAsiaTheme="minorHAnsi" w:hAnsi="Cambria"/>
          <w:sz w:val="24"/>
          <w:szCs w:val="24"/>
          <w:lang w:eastAsia="en-US"/>
        </w:rPr>
        <w:t>):</w:t>
      </w:r>
      <w:proofErr w:type="gramEnd"/>
      <w:r w:rsidRPr="00590DB8">
        <w:rPr>
          <w:rFonts w:ascii="Cambria" w:eastAsiaTheme="minorHAnsi" w:hAnsi="Cambria"/>
          <w:sz w:val="24"/>
          <w:szCs w:val="24"/>
          <w:lang w:eastAsia="en-US"/>
        </w:rPr>
        <w:t xml:space="preserve"> 9 voix pour et une abstention.</w:t>
      </w:r>
    </w:p>
    <w:p w14:paraId="5FD97613" w14:textId="77777777" w:rsidR="006475A4" w:rsidRPr="00590DB8" w:rsidRDefault="006475A4">
      <w:pPr>
        <w:rPr>
          <w:rFonts w:ascii="Cambria" w:hAnsi="Cambria"/>
        </w:rPr>
      </w:pPr>
    </w:p>
    <w:sectPr w:rsidR="006475A4" w:rsidRPr="00590D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B8"/>
    <w:rsid w:val="00590DB8"/>
    <w:rsid w:val="006475A4"/>
    <w:rsid w:val="008C6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B830"/>
  <w15:chartTrackingRefBased/>
  <w15:docId w15:val="{CC7F5C85-6EA7-4735-9FAA-05A71A61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DB8"/>
    <w:pPr>
      <w:spacing w:after="0" w:line="240"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1700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Dehiel</dc:creator>
  <cp:keywords/>
  <dc:description/>
  <cp:lastModifiedBy>Sol Dehiel</cp:lastModifiedBy>
  <cp:revision>2</cp:revision>
  <dcterms:created xsi:type="dcterms:W3CDTF">2019-11-18T20:47:00Z</dcterms:created>
  <dcterms:modified xsi:type="dcterms:W3CDTF">2019-11-18T20:52:00Z</dcterms:modified>
</cp:coreProperties>
</file>