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0491" w14:textId="4EDBA1FF" w:rsidR="00FA5292" w:rsidRPr="009C0E89" w:rsidRDefault="00FA5292" w:rsidP="00206BE0">
      <w:pPr>
        <w:spacing w:after="0" w:line="240" w:lineRule="auto"/>
        <w:jc w:val="both"/>
        <w:rPr>
          <w:rFonts w:ascii="Cambria" w:hAnsi="Cambria"/>
          <w:b/>
          <w:bCs/>
        </w:rPr>
      </w:pPr>
      <w:r w:rsidRPr="009C0E89">
        <w:rPr>
          <w:rFonts w:ascii="Cambria" w:hAnsi="Cambria"/>
          <w:b/>
          <w:bCs/>
        </w:rPr>
        <w:t xml:space="preserve">Compte rendu de l’AG AMERIBER du </w:t>
      </w:r>
      <w:r>
        <w:rPr>
          <w:rFonts w:ascii="Cambria" w:hAnsi="Cambria"/>
          <w:b/>
          <w:bCs/>
        </w:rPr>
        <w:t>26 mars 2024</w:t>
      </w:r>
    </w:p>
    <w:p w14:paraId="13C5D93D" w14:textId="77777777" w:rsidR="00FA5292" w:rsidRPr="009C0E89" w:rsidRDefault="00FA5292" w:rsidP="00206BE0">
      <w:pPr>
        <w:jc w:val="both"/>
        <w:rPr>
          <w:rFonts w:ascii="Cambria" w:hAnsi="Cambria"/>
        </w:rPr>
      </w:pPr>
    </w:p>
    <w:p w14:paraId="7A4526E1" w14:textId="6138735A" w:rsidR="00123425" w:rsidRDefault="00FA5292" w:rsidP="00123425">
      <w:proofErr w:type="spellStart"/>
      <w:r w:rsidRPr="009C0E89">
        <w:rPr>
          <w:rFonts w:ascii="Cambria" w:hAnsi="Cambria"/>
          <w:b/>
          <w:bCs/>
        </w:rPr>
        <w:t>Présent.e.s</w:t>
      </w:r>
      <w:proofErr w:type="spellEnd"/>
      <w:r w:rsidRPr="009C0E89">
        <w:rPr>
          <w:rFonts w:ascii="Cambria" w:hAnsi="Cambria"/>
        </w:rPr>
        <w:t xml:space="preserve"> : Th. Albertini, J. Alonso </w:t>
      </w:r>
      <w:proofErr w:type="spellStart"/>
      <w:r w:rsidRPr="009C0E89">
        <w:rPr>
          <w:rFonts w:ascii="Cambria" w:hAnsi="Cambria"/>
        </w:rPr>
        <w:t>Carballés</w:t>
      </w:r>
      <w:proofErr w:type="spellEnd"/>
      <w:r w:rsidRPr="009C0E89">
        <w:rPr>
          <w:rFonts w:ascii="Cambria" w:hAnsi="Cambria"/>
        </w:rPr>
        <w:t xml:space="preserve">, S. </w:t>
      </w:r>
      <w:proofErr w:type="spellStart"/>
      <w:r w:rsidRPr="009C0E89">
        <w:rPr>
          <w:rFonts w:ascii="Cambria" w:hAnsi="Cambria"/>
        </w:rPr>
        <w:t>Amorim</w:t>
      </w:r>
      <w:proofErr w:type="spellEnd"/>
      <w:r w:rsidRPr="009C0E89">
        <w:rPr>
          <w:rFonts w:ascii="Cambria" w:hAnsi="Cambria"/>
        </w:rPr>
        <w:t xml:space="preserve">, M. Augustin, E. </w:t>
      </w:r>
      <w:proofErr w:type="spellStart"/>
      <w:r w:rsidRPr="009C0E89">
        <w:rPr>
          <w:rFonts w:ascii="Cambria" w:hAnsi="Cambria"/>
        </w:rPr>
        <w:t>Canonica</w:t>
      </w:r>
      <w:proofErr w:type="spellEnd"/>
      <w:r w:rsidRPr="009C0E89">
        <w:rPr>
          <w:rFonts w:ascii="Cambria" w:hAnsi="Cambria"/>
        </w:rPr>
        <w:t xml:space="preserve">, Cl. </w:t>
      </w:r>
      <w:proofErr w:type="spellStart"/>
      <w:r w:rsidRPr="009C0E89">
        <w:rPr>
          <w:rFonts w:ascii="Cambria" w:hAnsi="Cambria"/>
        </w:rPr>
        <w:t>Deloeil</w:t>
      </w:r>
      <w:proofErr w:type="spellEnd"/>
      <w:r w:rsidRPr="009C0E89">
        <w:rPr>
          <w:rFonts w:ascii="Cambria" w:hAnsi="Cambria"/>
        </w:rPr>
        <w:t xml:space="preserve">-Furlan, </w:t>
      </w:r>
      <w:r w:rsidR="00756CCE" w:rsidRPr="009C0E89">
        <w:rPr>
          <w:rFonts w:ascii="Cambria" w:hAnsi="Cambria"/>
        </w:rPr>
        <w:t xml:space="preserve">R. Estève, </w:t>
      </w:r>
      <w:r w:rsidR="00B23F74" w:rsidRPr="009C0E89">
        <w:rPr>
          <w:rFonts w:ascii="Cambria" w:hAnsi="Cambria"/>
        </w:rPr>
        <w:t xml:space="preserve">C. Fernandes, </w:t>
      </w:r>
      <w:r w:rsidR="00123425" w:rsidRPr="009C0E89">
        <w:rPr>
          <w:rFonts w:ascii="Cambria" w:hAnsi="Cambria"/>
        </w:rPr>
        <w:t>V. Joubert,</w:t>
      </w:r>
      <w:r w:rsidR="00756CCE" w:rsidRPr="00756CCE">
        <w:rPr>
          <w:rFonts w:ascii="Cambria" w:hAnsi="Cambria"/>
        </w:rPr>
        <w:t xml:space="preserve"> </w:t>
      </w:r>
      <w:r w:rsidR="00756CCE" w:rsidRPr="009C0E89">
        <w:rPr>
          <w:rFonts w:ascii="Cambria" w:hAnsi="Cambria"/>
        </w:rPr>
        <w:t xml:space="preserve">M. Moreau, </w:t>
      </w:r>
      <w:r w:rsidR="00756CCE">
        <w:rPr>
          <w:rFonts w:ascii="Cambria" w:hAnsi="Cambria"/>
        </w:rPr>
        <w:t xml:space="preserve">J. </w:t>
      </w:r>
      <w:proofErr w:type="spellStart"/>
      <w:r w:rsidR="00756CCE">
        <w:rPr>
          <w:rFonts w:ascii="Cambria" w:hAnsi="Cambria"/>
        </w:rPr>
        <w:t>Paillocher</w:t>
      </w:r>
      <w:proofErr w:type="spellEnd"/>
      <w:r w:rsidR="00756CCE">
        <w:rPr>
          <w:rFonts w:ascii="Cambria" w:hAnsi="Cambria"/>
        </w:rPr>
        <w:t xml:space="preserve">, </w:t>
      </w:r>
      <w:r w:rsidR="00756CCE">
        <w:rPr>
          <w:rFonts w:ascii="Cambria" w:hAnsi="Cambria"/>
        </w:rPr>
        <w:t>J</w:t>
      </w:r>
      <w:r w:rsidR="00756CCE" w:rsidRPr="009C0E89">
        <w:rPr>
          <w:rFonts w:ascii="Cambria" w:hAnsi="Cambria"/>
        </w:rPr>
        <w:t xml:space="preserve">. </w:t>
      </w:r>
      <w:proofErr w:type="spellStart"/>
      <w:r w:rsidR="00756CCE" w:rsidRPr="009C0E89">
        <w:rPr>
          <w:rFonts w:ascii="Cambria" w:hAnsi="Cambria"/>
        </w:rPr>
        <w:t>Roumier</w:t>
      </w:r>
      <w:proofErr w:type="spellEnd"/>
      <w:r w:rsidR="00756CCE" w:rsidRPr="009C0E89">
        <w:rPr>
          <w:rFonts w:ascii="Cambria" w:hAnsi="Cambria"/>
        </w:rPr>
        <w:t>,</w:t>
      </w:r>
      <w:r w:rsidR="00756CCE" w:rsidRPr="00756CCE">
        <w:rPr>
          <w:rFonts w:ascii="Cambria" w:hAnsi="Cambria"/>
        </w:rPr>
        <w:t xml:space="preserve"> </w:t>
      </w:r>
      <w:r w:rsidR="00756CCE" w:rsidRPr="009C0E89">
        <w:rPr>
          <w:rFonts w:ascii="Cambria" w:hAnsi="Cambria"/>
        </w:rPr>
        <w:t xml:space="preserve">L. </w:t>
      </w:r>
      <w:proofErr w:type="spellStart"/>
      <w:r w:rsidR="00756CCE" w:rsidRPr="009C0E89">
        <w:rPr>
          <w:rFonts w:ascii="Cambria" w:hAnsi="Cambria"/>
        </w:rPr>
        <w:t>Segas</w:t>
      </w:r>
      <w:proofErr w:type="spellEnd"/>
      <w:r w:rsidR="00756CCE" w:rsidRPr="009C0E89">
        <w:rPr>
          <w:rFonts w:ascii="Cambria" w:hAnsi="Cambria"/>
        </w:rPr>
        <w:t>, R. Soto-</w:t>
      </w:r>
      <w:proofErr w:type="spellStart"/>
      <w:r w:rsidR="00756CCE" w:rsidRPr="009C0E89">
        <w:rPr>
          <w:rFonts w:ascii="Cambria" w:hAnsi="Cambria"/>
        </w:rPr>
        <w:t>Quiros</w:t>
      </w:r>
      <w:proofErr w:type="spellEnd"/>
    </w:p>
    <w:p w14:paraId="4E7B84A0" w14:textId="2EE3D560" w:rsidR="00FA5292" w:rsidRPr="009C0E89" w:rsidRDefault="00756CCE" w:rsidP="00D14913">
      <w:pPr>
        <w:jc w:val="both"/>
        <w:rPr>
          <w:rFonts w:ascii="Cambria" w:hAnsi="Cambria"/>
        </w:rPr>
      </w:pPr>
      <w:proofErr w:type="spellStart"/>
      <w:r w:rsidRPr="009C0E89">
        <w:rPr>
          <w:rFonts w:ascii="Cambria" w:hAnsi="Cambria"/>
          <w:b/>
          <w:bCs/>
        </w:rPr>
        <w:t>Excusé.e.s</w:t>
      </w:r>
      <w:proofErr w:type="spellEnd"/>
      <w:r w:rsidRPr="009C0E89">
        <w:rPr>
          <w:rFonts w:ascii="Cambria" w:hAnsi="Cambria"/>
        </w:rPr>
        <w:t xml:space="preserve"> : </w:t>
      </w:r>
      <w:r w:rsidR="00B23F74" w:rsidRPr="009C0E89">
        <w:rPr>
          <w:rFonts w:ascii="Cambria" w:hAnsi="Cambria"/>
        </w:rPr>
        <w:t xml:space="preserve">A. Almeida, </w:t>
      </w:r>
      <w:r w:rsidR="009A3FD2" w:rsidRPr="009C0E89">
        <w:rPr>
          <w:rFonts w:ascii="Cambria" w:hAnsi="Cambria"/>
        </w:rPr>
        <w:t xml:space="preserve">I.  </w:t>
      </w:r>
      <w:proofErr w:type="spellStart"/>
      <w:r w:rsidR="009A3FD2" w:rsidRPr="009C0E89">
        <w:rPr>
          <w:rFonts w:ascii="Cambria" w:hAnsi="Cambria"/>
        </w:rPr>
        <w:t>Bouchiba</w:t>
      </w:r>
      <w:proofErr w:type="spellEnd"/>
      <w:r w:rsidR="009A3FD2" w:rsidRPr="009C0E89">
        <w:rPr>
          <w:rFonts w:ascii="Cambria" w:hAnsi="Cambria"/>
        </w:rPr>
        <w:t xml:space="preserve"> </w:t>
      </w:r>
      <w:proofErr w:type="spellStart"/>
      <w:r w:rsidR="009A3FD2" w:rsidRPr="009C0E89">
        <w:rPr>
          <w:rFonts w:ascii="Cambria" w:hAnsi="Cambria"/>
        </w:rPr>
        <w:t>Fochesato</w:t>
      </w:r>
      <w:proofErr w:type="spellEnd"/>
      <w:r w:rsidR="009A3FD2">
        <w:rPr>
          <w:rFonts w:ascii="Cambria" w:hAnsi="Cambria"/>
        </w:rPr>
        <w:t>,</w:t>
      </w:r>
      <w:r w:rsidR="009A3FD2" w:rsidRPr="009C0E89">
        <w:rPr>
          <w:rFonts w:ascii="Cambria" w:hAnsi="Cambria"/>
        </w:rPr>
        <w:t xml:space="preserve"> </w:t>
      </w:r>
      <w:r w:rsidRPr="009C0E89">
        <w:rPr>
          <w:rFonts w:ascii="Cambria" w:hAnsi="Cambria"/>
        </w:rPr>
        <w:t xml:space="preserve">F. Bravo, </w:t>
      </w:r>
      <w:r w:rsidR="00D14913" w:rsidRPr="009C0E89">
        <w:rPr>
          <w:rFonts w:ascii="Cambria" w:hAnsi="Cambria"/>
        </w:rPr>
        <w:t xml:space="preserve">M. </w:t>
      </w:r>
      <w:proofErr w:type="spellStart"/>
      <w:r w:rsidR="00D14913" w:rsidRPr="009C0E89">
        <w:rPr>
          <w:rFonts w:ascii="Cambria" w:hAnsi="Cambria"/>
        </w:rPr>
        <w:t>Czerbakoff</w:t>
      </w:r>
      <w:proofErr w:type="spellEnd"/>
      <w:r w:rsidR="00D14913" w:rsidRPr="009C0E89">
        <w:rPr>
          <w:rFonts w:ascii="Cambria" w:hAnsi="Cambria"/>
        </w:rPr>
        <w:t xml:space="preserve">, P. </w:t>
      </w:r>
      <w:proofErr w:type="spellStart"/>
      <w:r w:rsidR="00D14913" w:rsidRPr="009C0E89">
        <w:rPr>
          <w:rFonts w:ascii="Cambria" w:hAnsi="Cambria"/>
        </w:rPr>
        <w:t>Darnis</w:t>
      </w:r>
      <w:proofErr w:type="spellEnd"/>
      <w:r w:rsidR="00D14913" w:rsidRPr="009C0E89">
        <w:rPr>
          <w:rFonts w:ascii="Cambria" w:hAnsi="Cambria"/>
        </w:rPr>
        <w:t xml:space="preserve">, </w:t>
      </w:r>
      <w:r w:rsidR="009A3FD2" w:rsidRPr="009C0E89">
        <w:rPr>
          <w:rFonts w:ascii="Cambria" w:hAnsi="Cambria"/>
        </w:rPr>
        <w:t xml:space="preserve">M. David, </w:t>
      </w:r>
      <w:r w:rsidR="00D14913" w:rsidRPr="009C0E89">
        <w:rPr>
          <w:rFonts w:ascii="Cambria" w:hAnsi="Cambria"/>
        </w:rPr>
        <w:t xml:space="preserve">D. De La Fuente, </w:t>
      </w:r>
      <w:r w:rsidR="00FA5292" w:rsidRPr="009C0E89">
        <w:rPr>
          <w:rFonts w:ascii="Cambria" w:hAnsi="Cambria"/>
        </w:rPr>
        <w:t xml:space="preserve">A. </w:t>
      </w:r>
      <w:proofErr w:type="spellStart"/>
      <w:r w:rsidR="00FA5292" w:rsidRPr="009C0E89">
        <w:rPr>
          <w:rFonts w:ascii="Cambria" w:hAnsi="Cambria"/>
        </w:rPr>
        <w:t>Florenchie</w:t>
      </w:r>
      <w:proofErr w:type="spellEnd"/>
      <w:r w:rsidR="00FA5292" w:rsidRPr="009C0E89">
        <w:rPr>
          <w:rFonts w:ascii="Cambria" w:hAnsi="Cambria"/>
        </w:rPr>
        <w:t xml:space="preserve">, </w:t>
      </w:r>
      <w:r w:rsidR="00D14913" w:rsidRPr="009C0E89">
        <w:rPr>
          <w:rFonts w:ascii="Cambria" w:hAnsi="Cambria"/>
        </w:rPr>
        <w:t xml:space="preserve">C. González </w:t>
      </w:r>
      <w:proofErr w:type="spellStart"/>
      <w:r w:rsidR="00D14913" w:rsidRPr="009C0E89">
        <w:rPr>
          <w:rFonts w:ascii="Cambria" w:hAnsi="Cambria"/>
        </w:rPr>
        <w:t>Scavino</w:t>
      </w:r>
      <w:proofErr w:type="spellEnd"/>
      <w:r w:rsidR="00D14913" w:rsidRPr="009C0E89">
        <w:rPr>
          <w:rFonts w:ascii="Cambria" w:hAnsi="Cambria"/>
        </w:rPr>
        <w:t>,</w:t>
      </w:r>
      <w:r w:rsidR="00D14913">
        <w:rPr>
          <w:rFonts w:ascii="Cambria" w:hAnsi="Cambria"/>
        </w:rPr>
        <w:t xml:space="preserve"> </w:t>
      </w:r>
      <w:r w:rsidR="00FA5292" w:rsidRPr="009C0E89">
        <w:rPr>
          <w:rFonts w:ascii="Cambria" w:hAnsi="Cambria"/>
        </w:rPr>
        <w:t xml:space="preserve">I. </w:t>
      </w:r>
      <w:proofErr w:type="spellStart"/>
      <w:r w:rsidR="00FA5292" w:rsidRPr="009C0E89">
        <w:rPr>
          <w:rFonts w:ascii="Cambria" w:hAnsi="Cambria"/>
        </w:rPr>
        <w:t>Heineberg</w:t>
      </w:r>
      <w:proofErr w:type="spellEnd"/>
      <w:r w:rsidR="00FA5292" w:rsidRPr="009C0E89">
        <w:rPr>
          <w:rFonts w:ascii="Cambria" w:hAnsi="Cambria"/>
        </w:rPr>
        <w:t xml:space="preserve">, </w:t>
      </w:r>
      <w:r w:rsidR="009A3FD2" w:rsidRPr="009C0E89">
        <w:rPr>
          <w:rFonts w:ascii="Cambria" w:hAnsi="Cambria"/>
        </w:rPr>
        <w:t xml:space="preserve">C. </w:t>
      </w:r>
      <w:proofErr w:type="spellStart"/>
      <w:r w:rsidR="009A3FD2" w:rsidRPr="009C0E89">
        <w:rPr>
          <w:rFonts w:ascii="Cambria" w:hAnsi="Cambria"/>
        </w:rPr>
        <w:t>Herzig</w:t>
      </w:r>
      <w:proofErr w:type="spellEnd"/>
      <w:r w:rsidR="009A3FD2" w:rsidRPr="009C0E89">
        <w:rPr>
          <w:rFonts w:ascii="Cambria" w:hAnsi="Cambria"/>
        </w:rPr>
        <w:t xml:space="preserve">, M. </w:t>
      </w:r>
      <w:proofErr w:type="spellStart"/>
      <w:r w:rsidR="009A3FD2" w:rsidRPr="009C0E89">
        <w:rPr>
          <w:rFonts w:ascii="Cambria" w:hAnsi="Cambria"/>
        </w:rPr>
        <w:t>Lacomba</w:t>
      </w:r>
      <w:proofErr w:type="spellEnd"/>
      <w:r w:rsidR="009A3FD2" w:rsidRPr="009C0E89">
        <w:rPr>
          <w:rFonts w:ascii="Cambria" w:hAnsi="Cambria"/>
        </w:rPr>
        <w:t xml:space="preserve">, </w:t>
      </w:r>
      <w:r w:rsidR="00FA5292" w:rsidRPr="009C0E89">
        <w:rPr>
          <w:rFonts w:ascii="Cambria" w:hAnsi="Cambria"/>
        </w:rPr>
        <w:t xml:space="preserve">S. </w:t>
      </w:r>
      <w:proofErr w:type="spellStart"/>
      <w:r w:rsidR="00FA5292" w:rsidRPr="009C0E89">
        <w:rPr>
          <w:rFonts w:ascii="Cambria" w:hAnsi="Cambria"/>
        </w:rPr>
        <w:t>Lani</w:t>
      </w:r>
      <w:proofErr w:type="spellEnd"/>
      <w:r w:rsidR="00FA5292" w:rsidRPr="009C0E89">
        <w:rPr>
          <w:rFonts w:ascii="Cambria" w:hAnsi="Cambria"/>
        </w:rPr>
        <w:t xml:space="preserve">, </w:t>
      </w:r>
      <w:r w:rsidR="00D14913" w:rsidRPr="009C0E89">
        <w:rPr>
          <w:rFonts w:ascii="Cambria" w:hAnsi="Cambria"/>
        </w:rPr>
        <w:t xml:space="preserve">J. Olivier, </w:t>
      </w:r>
      <w:r w:rsidR="00FA5292" w:rsidRPr="009C0E89">
        <w:rPr>
          <w:rFonts w:ascii="Cambria" w:hAnsi="Cambria"/>
        </w:rPr>
        <w:t xml:space="preserve">V. </w:t>
      </w:r>
      <w:proofErr w:type="spellStart"/>
      <w:r w:rsidR="00FA5292" w:rsidRPr="009C0E89">
        <w:rPr>
          <w:rFonts w:ascii="Cambria" w:hAnsi="Cambria"/>
        </w:rPr>
        <w:t>Parello</w:t>
      </w:r>
      <w:proofErr w:type="spellEnd"/>
      <w:r w:rsidR="00FA5292" w:rsidRPr="009C0E89">
        <w:rPr>
          <w:rFonts w:ascii="Cambria" w:hAnsi="Cambria"/>
        </w:rPr>
        <w:t>, F. Prot</w:t>
      </w:r>
      <w:r w:rsidR="00123425" w:rsidRPr="009C0E89">
        <w:rPr>
          <w:rFonts w:ascii="Cambria" w:hAnsi="Cambria"/>
        </w:rPr>
        <w:t xml:space="preserve"> </w:t>
      </w:r>
      <w:r w:rsidR="009A3FD2" w:rsidRPr="009C0E89">
        <w:rPr>
          <w:rFonts w:ascii="Cambria" w:hAnsi="Cambria"/>
        </w:rPr>
        <w:t xml:space="preserve">N. </w:t>
      </w:r>
      <w:proofErr w:type="spellStart"/>
      <w:r w:rsidR="009A3FD2" w:rsidRPr="009C0E89">
        <w:rPr>
          <w:rFonts w:ascii="Cambria" w:hAnsi="Cambria"/>
        </w:rPr>
        <w:t>Rodríguez</w:t>
      </w:r>
      <w:proofErr w:type="spellEnd"/>
      <w:r w:rsidR="009A3FD2" w:rsidRPr="009C0E89">
        <w:rPr>
          <w:rFonts w:ascii="Cambria" w:hAnsi="Cambria"/>
        </w:rPr>
        <w:t xml:space="preserve"> </w:t>
      </w:r>
      <w:proofErr w:type="spellStart"/>
      <w:r w:rsidR="009A3FD2" w:rsidRPr="009C0E89">
        <w:rPr>
          <w:rFonts w:ascii="Cambria" w:hAnsi="Cambria"/>
        </w:rPr>
        <w:t>Lázaro</w:t>
      </w:r>
      <w:proofErr w:type="spellEnd"/>
      <w:r w:rsidR="009A3FD2" w:rsidRPr="009C0E89">
        <w:rPr>
          <w:rFonts w:ascii="Cambria" w:hAnsi="Cambria"/>
        </w:rPr>
        <w:t xml:space="preserve">, </w:t>
      </w:r>
      <w:r w:rsidR="00B23F74" w:rsidRPr="009C0E89">
        <w:rPr>
          <w:rFonts w:ascii="Cambria" w:hAnsi="Cambria"/>
        </w:rPr>
        <w:t xml:space="preserve">A. </w:t>
      </w:r>
      <w:proofErr w:type="spellStart"/>
      <w:r w:rsidR="00B23F74" w:rsidRPr="009C0E89">
        <w:rPr>
          <w:rFonts w:ascii="Cambria" w:hAnsi="Cambria"/>
        </w:rPr>
        <w:t>Sarría</w:t>
      </w:r>
      <w:proofErr w:type="spellEnd"/>
      <w:r w:rsidR="00B23F74" w:rsidRPr="009C0E89">
        <w:rPr>
          <w:rFonts w:ascii="Cambria" w:hAnsi="Cambria"/>
        </w:rPr>
        <w:t xml:space="preserve"> </w:t>
      </w:r>
      <w:proofErr w:type="spellStart"/>
      <w:r w:rsidR="00B23F74" w:rsidRPr="009C0E89">
        <w:rPr>
          <w:rFonts w:ascii="Cambria" w:hAnsi="Cambria"/>
        </w:rPr>
        <w:t>Buil</w:t>
      </w:r>
      <w:proofErr w:type="spellEnd"/>
      <w:r w:rsidR="00B23F74" w:rsidRPr="009C0E89">
        <w:rPr>
          <w:rFonts w:ascii="Cambria" w:hAnsi="Cambria"/>
        </w:rPr>
        <w:t xml:space="preserve">, M. </w:t>
      </w:r>
      <w:proofErr w:type="spellStart"/>
      <w:r w:rsidR="00B23F74" w:rsidRPr="009C0E89">
        <w:rPr>
          <w:rFonts w:ascii="Cambria" w:hAnsi="Cambria"/>
        </w:rPr>
        <w:t>Santacruz</w:t>
      </w:r>
      <w:proofErr w:type="spellEnd"/>
      <w:r w:rsidR="00FA5292" w:rsidRPr="009C0E89">
        <w:rPr>
          <w:rFonts w:ascii="Cambria" w:hAnsi="Cambria"/>
        </w:rPr>
        <w:t xml:space="preserve"> </w:t>
      </w:r>
      <w:r w:rsidR="009A3FD2" w:rsidRPr="009C0E89">
        <w:rPr>
          <w:rFonts w:ascii="Cambria" w:hAnsi="Cambria"/>
        </w:rPr>
        <w:t xml:space="preserve">A. </w:t>
      </w:r>
      <w:proofErr w:type="spellStart"/>
      <w:r w:rsidR="009A3FD2" w:rsidRPr="009C0E89">
        <w:rPr>
          <w:rFonts w:ascii="Cambria" w:hAnsi="Cambria"/>
        </w:rPr>
        <w:t>Stulic</w:t>
      </w:r>
      <w:proofErr w:type="spellEnd"/>
      <w:r w:rsidR="009A3FD2" w:rsidRPr="009C0E89">
        <w:rPr>
          <w:rFonts w:ascii="Cambria" w:hAnsi="Cambria"/>
        </w:rPr>
        <w:t>,</w:t>
      </w:r>
      <w:r w:rsidR="009A3FD2">
        <w:rPr>
          <w:rFonts w:ascii="Cambria" w:hAnsi="Cambria"/>
        </w:rPr>
        <w:t xml:space="preserve"> </w:t>
      </w:r>
      <w:r w:rsidR="00FA5292" w:rsidRPr="009C0E89">
        <w:rPr>
          <w:rFonts w:ascii="Cambria" w:hAnsi="Cambria"/>
        </w:rPr>
        <w:t xml:space="preserve">I. Tauzin, I. </w:t>
      </w:r>
      <w:proofErr w:type="spellStart"/>
      <w:r w:rsidR="00FA5292" w:rsidRPr="009C0E89">
        <w:rPr>
          <w:rFonts w:ascii="Cambria" w:hAnsi="Cambria"/>
        </w:rPr>
        <w:t>Touton</w:t>
      </w:r>
      <w:proofErr w:type="spellEnd"/>
      <w:r w:rsidR="00FA5292" w:rsidRPr="009C0E89">
        <w:rPr>
          <w:rFonts w:ascii="Cambria" w:hAnsi="Cambria"/>
        </w:rPr>
        <w:t>, A. Ventura</w:t>
      </w:r>
      <w:r w:rsidR="009A3FD2" w:rsidRPr="009C0E89">
        <w:rPr>
          <w:rFonts w:ascii="Cambria" w:hAnsi="Cambria"/>
        </w:rPr>
        <w:t>, G. Weber</w:t>
      </w:r>
      <w:r w:rsidR="009A3FD2">
        <w:rPr>
          <w:rFonts w:ascii="Cambria" w:hAnsi="Cambria"/>
        </w:rPr>
        <w:t>.</w:t>
      </w:r>
    </w:p>
    <w:p w14:paraId="13AF3934" w14:textId="44C75833" w:rsidR="00BE37A9" w:rsidRPr="00FA5292" w:rsidRDefault="00827745" w:rsidP="00206BE0">
      <w:pPr>
        <w:spacing w:after="0" w:line="240" w:lineRule="auto"/>
        <w:jc w:val="both"/>
        <w:rPr>
          <w:rFonts w:ascii="Cambria" w:hAnsi="Cambria"/>
          <w:b/>
          <w:bCs/>
          <w:sz w:val="24"/>
          <w:szCs w:val="24"/>
        </w:rPr>
      </w:pPr>
      <w:r w:rsidRPr="00FA5292">
        <w:rPr>
          <w:rFonts w:ascii="Cambria" w:hAnsi="Cambria"/>
          <w:b/>
          <w:bCs/>
          <w:sz w:val="24"/>
          <w:szCs w:val="24"/>
        </w:rPr>
        <w:t xml:space="preserve">- </w:t>
      </w:r>
      <w:r w:rsidR="00BE37A9" w:rsidRPr="00FA5292">
        <w:rPr>
          <w:rFonts w:ascii="Cambria" w:hAnsi="Cambria"/>
          <w:b/>
          <w:bCs/>
          <w:sz w:val="24"/>
          <w:szCs w:val="24"/>
        </w:rPr>
        <w:t xml:space="preserve">Point 1. </w:t>
      </w:r>
      <w:r w:rsidRPr="00FA5292">
        <w:rPr>
          <w:rFonts w:ascii="Cambria" w:hAnsi="Cambria"/>
          <w:b/>
          <w:bCs/>
          <w:sz w:val="24"/>
          <w:szCs w:val="24"/>
        </w:rPr>
        <w:t>Présentation budget</w:t>
      </w:r>
      <w:r w:rsidR="00FA5292" w:rsidRPr="00FA5292">
        <w:rPr>
          <w:rFonts w:ascii="Cambria" w:hAnsi="Cambria"/>
          <w:b/>
          <w:bCs/>
          <w:sz w:val="24"/>
          <w:szCs w:val="24"/>
        </w:rPr>
        <w:t xml:space="preserve"> 2024</w:t>
      </w:r>
      <w:r w:rsidR="00BE37A9" w:rsidRPr="00FA5292">
        <w:rPr>
          <w:rFonts w:ascii="Cambria" w:hAnsi="Cambria"/>
          <w:b/>
          <w:bCs/>
          <w:sz w:val="24"/>
          <w:szCs w:val="24"/>
        </w:rPr>
        <w:t>.</w:t>
      </w:r>
    </w:p>
    <w:p w14:paraId="5705D682" w14:textId="378C63B4" w:rsidR="00BE37A9" w:rsidRDefault="00BE37A9" w:rsidP="00206BE0">
      <w:pPr>
        <w:spacing w:after="0" w:line="240" w:lineRule="auto"/>
        <w:jc w:val="both"/>
        <w:rPr>
          <w:rFonts w:ascii="Cambria" w:hAnsi="Cambria"/>
          <w:sz w:val="24"/>
          <w:szCs w:val="24"/>
        </w:rPr>
      </w:pPr>
      <w:r w:rsidRPr="00BE37A9">
        <w:rPr>
          <w:rFonts w:ascii="Cambria" w:hAnsi="Cambria"/>
          <w:sz w:val="24"/>
          <w:szCs w:val="24"/>
        </w:rPr>
        <w:t xml:space="preserve">Le budget </w:t>
      </w:r>
      <w:r w:rsidR="00FA5292">
        <w:rPr>
          <w:rFonts w:ascii="Cambria" w:hAnsi="Cambria"/>
          <w:sz w:val="24"/>
          <w:szCs w:val="24"/>
        </w:rPr>
        <w:t xml:space="preserve">tel que voté par le Conseil le 13/11/2023 est présenté à l’ensemble de l’AG, l’état en temps réel de ce budget est accessible toute l’année via le lien suivant. </w:t>
      </w:r>
    </w:p>
    <w:p w14:paraId="0038D63B" w14:textId="6CF7528D" w:rsidR="00FA5292" w:rsidRPr="00FA5292" w:rsidRDefault="00000000" w:rsidP="00206BE0">
      <w:pPr>
        <w:spacing w:after="0" w:line="240" w:lineRule="auto"/>
        <w:jc w:val="both"/>
        <w:rPr>
          <w:rFonts w:ascii="Cambria" w:hAnsi="Cambria"/>
        </w:rPr>
      </w:pPr>
      <w:hyperlink r:id="rId4" w:history="1">
        <w:r w:rsidR="00FA5292" w:rsidRPr="00FA5292">
          <w:rPr>
            <w:rStyle w:val="Lienhypertexte"/>
            <w:rFonts w:ascii="Cambria" w:hAnsi="Cambria"/>
          </w:rPr>
          <w:t>BUDGET 2024.xlsx</w:t>
        </w:r>
      </w:hyperlink>
    </w:p>
    <w:p w14:paraId="5E62FD4F" w14:textId="7A19BB44" w:rsidR="00206BE0" w:rsidRDefault="00FA5292" w:rsidP="00206BE0">
      <w:pPr>
        <w:spacing w:after="0" w:line="240" w:lineRule="auto"/>
        <w:jc w:val="both"/>
        <w:rPr>
          <w:rFonts w:ascii="Cambria" w:hAnsi="Cambria"/>
          <w:sz w:val="24"/>
          <w:szCs w:val="24"/>
        </w:rPr>
      </w:pPr>
      <w:r>
        <w:rPr>
          <w:rFonts w:ascii="Cambria" w:hAnsi="Cambria"/>
          <w:sz w:val="24"/>
          <w:szCs w:val="24"/>
        </w:rPr>
        <w:t xml:space="preserve">La date tardive de présentation de ce budget est due aux délais imposés par l’ajustement deux paramètres. D’une part, la décision concernant l’octroi pour la deuxième année successive, d’un supplément de dotation fléché pour les </w:t>
      </w:r>
      <w:proofErr w:type="spellStart"/>
      <w:r>
        <w:rPr>
          <w:rFonts w:ascii="Cambria" w:hAnsi="Cambria"/>
          <w:sz w:val="24"/>
          <w:szCs w:val="24"/>
        </w:rPr>
        <w:t>doctorant.e.s</w:t>
      </w:r>
      <w:proofErr w:type="spellEnd"/>
      <w:r>
        <w:rPr>
          <w:rFonts w:ascii="Cambria" w:hAnsi="Cambria"/>
          <w:sz w:val="24"/>
          <w:szCs w:val="24"/>
        </w:rPr>
        <w:t xml:space="preserve"> et indexé sur la somme globale que le laboratoire avait l’habitude de leur allouer :  à peu près 3000 euros, auxquels viennent donc s’ajouter 3000 euros supplémentaires, pour un total d’à peu près 6000 euros, prévisionnels ou fil de l’eau pour les </w:t>
      </w:r>
      <w:proofErr w:type="spellStart"/>
      <w:r>
        <w:rPr>
          <w:rFonts w:ascii="Cambria" w:hAnsi="Cambria"/>
          <w:sz w:val="24"/>
          <w:szCs w:val="24"/>
        </w:rPr>
        <w:t>doctorant.e.s</w:t>
      </w:r>
      <w:proofErr w:type="spellEnd"/>
      <w:r>
        <w:rPr>
          <w:rFonts w:ascii="Cambria" w:hAnsi="Cambria"/>
          <w:sz w:val="24"/>
          <w:szCs w:val="24"/>
        </w:rPr>
        <w:t xml:space="preserve"> sur 2024.</w:t>
      </w:r>
      <w:r w:rsidR="00827745" w:rsidRPr="00BE37A9">
        <w:rPr>
          <w:rFonts w:ascii="Cambria" w:hAnsi="Cambria"/>
          <w:sz w:val="24"/>
          <w:szCs w:val="24"/>
        </w:rPr>
        <w:t> </w:t>
      </w:r>
      <w:r>
        <w:rPr>
          <w:rFonts w:ascii="Cambria" w:hAnsi="Cambria"/>
          <w:sz w:val="24"/>
          <w:szCs w:val="24"/>
        </w:rPr>
        <w:t xml:space="preserve">D’autres part les arbitrages rendus par la commission traitant les demandes de dotations à caractère pédagogique auprès de l’UFR, qui a été cette année d’une </w:t>
      </w:r>
      <w:r w:rsidR="00206BE0">
        <w:rPr>
          <w:rFonts w:ascii="Cambria" w:hAnsi="Cambria"/>
          <w:sz w:val="24"/>
          <w:szCs w:val="24"/>
        </w:rPr>
        <w:t>aide cruciale pour le bouclage de notre budget. Comme l’a été, c’est le seul commentaire que fera R. Estève sur le budget affiché, la proposition par Frédéric Prot de faire passer sur 2025 sa demande de dotation pour un colloque international qui sera donc prioritaire l’année prochaine.</w:t>
      </w:r>
    </w:p>
    <w:p w14:paraId="1313D9C7" w14:textId="77777777" w:rsidR="00206BE0" w:rsidRDefault="00206BE0" w:rsidP="00206BE0">
      <w:pPr>
        <w:spacing w:after="0" w:line="240" w:lineRule="auto"/>
        <w:jc w:val="both"/>
        <w:rPr>
          <w:rFonts w:ascii="Cambria" w:hAnsi="Cambria"/>
          <w:sz w:val="24"/>
          <w:szCs w:val="24"/>
        </w:rPr>
      </w:pPr>
    </w:p>
    <w:p w14:paraId="5F2D192B" w14:textId="307EF219" w:rsidR="00827745" w:rsidRDefault="00206BE0" w:rsidP="00206BE0">
      <w:pPr>
        <w:spacing w:after="0" w:line="240" w:lineRule="auto"/>
        <w:jc w:val="both"/>
        <w:rPr>
          <w:rFonts w:ascii="Cambria" w:hAnsi="Cambria"/>
          <w:b/>
          <w:bCs/>
          <w:sz w:val="24"/>
          <w:szCs w:val="24"/>
        </w:rPr>
      </w:pPr>
      <w:r w:rsidRPr="00206BE0">
        <w:rPr>
          <w:rFonts w:ascii="Cambria" w:hAnsi="Cambria"/>
          <w:b/>
          <w:bCs/>
          <w:sz w:val="24"/>
          <w:szCs w:val="24"/>
        </w:rPr>
        <w:t>-Point 2. Elargissement des candidatures éligibles aux postes d’ATER montants ou dits de jouvence.</w:t>
      </w:r>
    </w:p>
    <w:p w14:paraId="4165462C" w14:textId="3EA95CCC" w:rsidR="00206BE0" w:rsidRDefault="00206BE0" w:rsidP="00206BE0">
      <w:pPr>
        <w:spacing w:after="0" w:line="240" w:lineRule="auto"/>
        <w:jc w:val="both"/>
        <w:rPr>
          <w:rFonts w:ascii="Cambria" w:hAnsi="Cambria"/>
          <w:sz w:val="24"/>
          <w:szCs w:val="24"/>
        </w:rPr>
      </w:pPr>
      <w:r w:rsidRPr="00206BE0">
        <w:rPr>
          <w:rFonts w:ascii="Cambria" w:hAnsi="Cambria"/>
          <w:sz w:val="24"/>
          <w:szCs w:val="24"/>
        </w:rPr>
        <w:t>Pour</w:t>
      </w:r>
      <w:r>
        <w:rPr>
          <w:rFonts w:ascii="Cambria" w:hAnsi="Cambria"/>
          <w:sz w:val="24"/>
          <w:szCs w:val="24"/>
        </w:rPr>
        <w:t xml:space="preserve"> la deuxième année consécutive, l’ED avait décidé en 2024 d’ouvrir l’octroi des postes d’ATER montants au-delà des seuls lauréats de Contrats Doctoraux UBM et ENS, à tous les </w:t>
      </w:r>
      <w:proofErr w:type="spellStart"/>
      <w:r>
        <w:rPr>
          <w:rFonts w:ascii="Cambria" w:hAnsi="Cambria"/>
          <w:sz w:val="24"/>
          <w:szCs w:val="24"/>
        </w:rPr>
        <w:t>doctorant.e.s</w:t>
      </w:r>
      <w:proofErr w:type="spellEnd"/>
      <w:r>
        <w:rPr>
          <w:rFonts w:ascii="Cambria" w:hAnsi="Cambria"/>
          <w:sz w:val="24"/>
          <w:szCs w:val="24"/>
        </w:rPr>
        <w:t xml:space="preserve">. inscrits en troisième année de thèse. Sur la foi déclarative de la communication maximaliste de l’ED qui s’est engagé à contacter génériquement tous les directeurs et directrices de thèse, ainsi que de façon ciblée tous les </w:t>
      </w:r>
      <w:proofErr w:type="spellStart"/>
      <w:r>
        <w:rPr>
          <w:rFonts w:ascii="Cambria" w:hAnsi="Cambria"/>
          <w:sz w:val="24"/>
          <w:szCs w:val="24"/>
        </w:rPr>
        <w:t>doctorante.s</w:t>
      </w:r>
      <w:proofErr w:type="spellEnd"/>
      <w:r>
        <w:rPr>
          <w:rFonts w:ascii="Cambria" w:hAnsi="Cambria"/>
          <w:sz w:val="24"/>
          <w:szCs w:val="24"/>
        </w:rPr>
        <w:t xml:space="preserve"> en troisième année du site et leur directrice/directeur, et aussi du fait, qu’au cours de ces deux années, dans les faits, comme R. Estève a eu l’occasion de le dire lors de réunions précédentes</w:t>
      </w:r>
      <w:r w:rsidR="008D529E">
        <w:rPr>
          <w:rFonts w:ascii="Cambria" w:hAnsi="Cambria"/>
          <w:sz w:val="24"/>
          <w:szCs w:val="24"/>
        </w:rPr>
        <w:t>, ce sont à 90% les lauréats</w:t>
      </w:r>
      <w:r>
        <w:rPr>
          <w:rFonts w:ascii="Cambria" w:hAnsi="Cambria"/>
          <w:sz w:val="24"/>
          <w:szCs w:val="24"/>
        </w:rPr>
        <w:t xml:space="preserve"> </w:t>
      </w:r>
      <w:r w:rsidR="008D529E">
        <w:rPr>
          <w:rFonts w:ascii="Cambria" w:hAnsi="Cambria"/>
          <w:sz w:val="24"/>
          <w:szCs w:val="24"/>
        </w:rPr>
        <w:t>de CD qui ont été « prolongés », la direction d’</w:t>
      </w:r>
      <w:r>
        <w:rPr>
          <w:rFonts w:ascii="Cambria" w:hAnsi="Cambria"/>
          <w:sz w:val="24"/>
          <w:szCs w:val="24"/>
        </w:rPr>
        <w:t>Ameriber</w:t>
      </w:r>
      <w:r w:rsidR="008D529E">
        <w:rPr>
          <w:rFonts w:ascii="Cambria" w:hAnsi="Cambria"/>
          <w:sz w:val="24"/>
          <w:szCs w:val="24"/>
        </w:rPr>
        <w:t xml:space="preserve"> n’a pas estimé nécessaire de communiquer à son tour de façon formelle cette information. Mais dans l’éventualité où </w:t>
      </w:r>
      <w:proofErr w:type="spellStart"/>
      <w:r w:rsidR="008D529E">
        <w:rPr>
          <w:rFonts w:ascii="Cambria" w:hAnsi="Cambria"/>
          <w:sz w:val="24"/>
          <w:szCs w:val="24"/>
        </w:rPr>
        <w:t>certain.e.s</w:t>
      </w:r>
      <w:proofErr w:type="spellEnd"/>
      <w:r w:rsidR="008D529E">
        <w:rPr>
          <w:rFonts w:ascii="Cambria" w:hAnsi="Cambria"/>
          <w:sz w:val="24"/>
          <w:szCs w:val="24"/>
        </w:rPr>
        <w:t xml:space="preserve"> </w:t>
      </w:r>
      <w:proofErr w:type="spellStart"/>
      <w:r w:rsidR="008D529E">
        <w:rPr>
          <w:rFonts w:ascii="Cambria" w:hAnsi="Cambria"/>
          <w:sz w:val="24"/>
          <w:szCs w:val="24"/>
        </w:rPr>
        <w:t>doctorant.e.s</w:t>
      </w:r>
      <w:proofErr w:type="spellEnd"/>
      <w:r w:rsidR="008D529E">
        <w:rPr>
          <w:rFonts w:ascii="Cambria" w:hAnsi="Cambria"/>
          <w:sz w:val="24"/>
          <w:szCs w:val="24"/>
        </w:rPr>
        <w:t xml:space="preserve"> éligibles auraient effectivement pu passer au travers de mailles du filet, il est au final plus prudent de le faire, ce que le compte rendu formalise donc. D’autant que ce concours, si tant est que ce soit viable, sera élargi a priori en 2025 aux quatrièmes années d’inscription en thèse.</w:t>
      </w:r>
    </w:p>
    <w:p w14:paraId="2DE62110" w14:textId="77777777" w:rsidR="009A7D7C" w:rsidRDefault="009A7D7C" w:rsidP="00206BE0">
      <w:pPr>
        <w:spacing w:after="0" w:line="240" w:lineRule="auto"/>
        <w:jc w:val="both"/>
        <w:rPr>
          <w:rFonts w:ascii="Cambria" w:hAnsi="Cambria"/>
          <w:sz w:val="24"/>
          <w:szCs w:val="24"/>
        </w:rPr>
      </w:pPr>
    </w:p>
    <w:p w14:paraId="425E811B" w14:textId="22726960" w:rsidR="009A7D7C" w:rsidRPr="009A7D7C" w:rsidRDefault="009A7D7C" w:rsidP="00206BE0">
      <w:pPr>
        <w:spacing w:after="0" w:line="240" w:lineRule="auto"/>
        <w:jc w:val="both"/>
        <w:rPr>
          <w:rFonts w:ascii="Cambria" w:hAnsi="Cambria"/>
          <w:b/>
          <w:bCs/>
          <w:sz w:val="24"/>
          <w:szCs w:val="24"/>
        </w:rPr>
      </w:pPr>
      <w:r>
        <w:rPr>
          <w:rFonts w:ascii="Cambria" w:hAnsi="Cambria"/>
          <w:b/>
          <w:bCs/>
          <w:sz w:val="24"/>
          <w:szCs w:val="24"/>
        </w:rPr>
        <w:t xml:space="preserve">La date limite des dépôts de candidatures pour le Contrat Doctoral UBM 2024 est fixée au </w:t>
      </w:r>
      <w:r w:rsidR="00123425">
        <w:rPr>
          <w:rFonts w:ascii="Cambria" w:hAnsi="Cambria"/>
          <w:b/>
          <w:bCs/>
          <w:sz w:val="24"/>
          <w:szCs w:val="24"/>
        </w:rPr>
        <w:t>05 juin.</w:t>
      </w:r>
    </w:p>
    <w:p w14:paraId="4B4E3BFE" w14:textId="77777777" w:rsidR="008D529E" w:rsidRDefault="008D529E" w:rsidP="00206BE0">
      <w:pPr>
        <w:spacing w:after="0" w:line="240" w:lineRule="auto"/>
        <w:jc w:val="both"/>
        <w:rPr>
          <w:rFonts w:ascii="Cambria" w:hAnsi="Cambria"/>
          <w:sz w:val="24"/>
          <w:szCs w:val="24"/>
        </w:rPr>
      </w:pPr>
    </w:p>
    <w:p w14:paraId="09F51955" w14:textId="57EC71AC" w:rsidR="00827745" w:rsidRDefault="008D529E" w:rsidP="00206BE0">
      <w:pPr>
        <w:spacing w:after="0" w:line="240" w:lineRule="auto"/>
        <w:jc w:val="both"/>
        <w:rPr>
          <w:rFonts w:ascii="Cambria" w:hAnsi="Cambria"/>
          <w:b/>
          <w:bCs/>
          <w:sz w:val="24"/>
          <w:szCs w:val="24"/>
        </w:rPr>
      </w:pPr>
      <w:r>
        <w:rPr>
          <w:rFonts w:ascii="Cambria" w:hAnsi="Cambria"/>
          <w:b/>
          <w:bCs/>
          <w:sz w:val="24"/>
          <w:szCs w:val="24"/>
        </w:rPr>
        <w:t>-Point 3</w:t>
      </w:r>
      <w:r w:rsidRPr="008D529E">
        <w:rPr>
          <w:rFonts w:ascii="Cambria" w:hAnsi="Cambria"/>
          <w:b/>
          <w:bCs/>
          <w:sz w:val="24"/>
          <w:szCs w:val="24"/>
        </w:rPr>
        <w:t>. D</w:t>
      </w:r>
      <w:r w:rsidR="00827745" w:rsidRPr="008D529E">
        <w:rPr>
          <w:rFonts w:ascii="Cambria" w:hAnsi="Cambria"/>
          <w:b/>
          <w:bCs/>
          <w:sz w:val="24"/>
          <w:szCs w:val="24"/>
        </w:rPr>
        <w:t>irections de thèses par un MCF non HDR</w:t>
      </w:r>
    </w:p>
    <w:p w14:paraId="1E8DD150" w14:textId="77FE27EA" w:rsidR="008D529E" w:rsidRPr="008D529E" w:rsidRDefault="008D529E" w:rsidP="00206BE0">
      <w:pPr>
        <w:spacing w:after="0" w:line="240" w:lineRule="auto"/>
        <w:jc w:val="both"/>
        <w:rPr>
          <w:rFonts w:ascii="Cambria" w:hAnsi="Cambria"/>
          <w:sz w:val="24"/>
          <w:szCs w:val="24"/>
        </w:rPr>
      </w:pPr>
      <w:r>
        <w:rPr>
          <w:rFonts w:ascii="Cambria" w:hAnsi="Cambria"/>
          <w:sz w:val="24"/>
          <w:szCs w:val="24"/>
        </w:rPr>
        <w:t xml:space="preserve">Le Conseil de l’EDMH a voté en 2023 la possibilité encadrée qu’un MCF non habilité puisse diriger une thèse. Mais il faut pour cela respecter au moins les conditions suivantes : avoir </w:t>
      </w:r>
      <w:r>
        <w:rPr>
          <w:rFonts w:ascii="Cambria" w:hAnsi="Cambria"/>
          <w:sz w:val="24"/>
          <w:szCs w:val="24"/>
        </w:rPr>
        <w:lastRenderedPageBreak/>
        <w:t xml:space="preserve">dix ans d’ancienneté dans le corps de Maîtres de Conférences ; avoir déjà </w:t>
      </w:r>
      <w:proofErr w:type="spellStart"/>
      <w:r>
        <w:rPr>
          <w:rFonts w:ascii="Cambria" w:hAnsi="Cambria"/>
          <w:sz w:val="24"/>
          <w:szCs w:val="24"/>
        </w:rPr>
        <w:t>co</w:t>
      </w:r>
      <w:proofErr w:type="spellEnd"/>
      <w:r>
        <w:rPr>
          <w:rFonts w:ascii="Cambria" w:hAnsi="Cambria"/>
          <w:sz w:val="24"/>
          <w:szCs w:val="24"/>
        </w:rPr>
        <w:t>-encadré une thèse, et que cette thèse ait déjà été à soutenance</w:t>
      </w:r>
      <w:r w:rsidR="001953CC">
        <w:rPr>
          <w:rFonts w:ascii="Cambria" w:hAnsi="Cambria"/>
          <w:sz w:val="24"/>
          <w:szCs w:val="24"/>
        </w:rPr>
        <w:t>.</w:t>
      </w:r>
    </w:p>
    <w:p w14:paraId="50E06895" w14:textId="77777777" w:rsidR="00CD5871" w:rsidRDefault="00CD5871" w:rsidP="00206BE0">
      <w:pPr>
        <w:spacing w:after="0" w:line="240" w:lineRule="auto"/>
        <w:jc w:val="both"/>
        <w:rPr>
          <w:rFonts w:ascii="Cambria" w:hAnsi="Cambria"/>
          <w:sz w:val="24"/>
          <w:szCs w:val="24"/>
        </w:rPr>
      </w:pPr>
    </w:p>
    <w:p w14:paraId="06FEE7C0" w14:textId="733B5640" w:rsidR="00CD5871" w:rsidRDefault="00CD5871" w:rsidP="00206BE0">
      <w:pPr>
        <w:spacing w:after="0" w:line="240" w:lineRule="auto"/>
        <w:jc w:val="both"/>
        <w:rPr>
          <w:rFonts w:ascii="Cambria" w:hAnsi="Cambria"/>
          <w:b/>
          <w:bCs/>
          <w:sz w:val="24"/>
          <w:szCs w:val="24"/>
        </w:rPr>
      </w:pPr>
      <w:r>
        <w:rPr>
          <w:rFonts w:ascii="Cambria" w:hAnsi="Cambria"/>
          <w:b/>
          <w:bCs/>
          <w:sz w:val="24"/>
          <w:szCs w:val="24"/>
        </w:rPr>
        <w:t xml:space="preserve">-Point 4. Dotation des jeunes </w:t>
      </w:r>
      <w:proofErr w:type="spellStart"/>
      <w:r>
        <w:rPr>
          <w:rFonts w:ascii="Cambria" w:hAnsi="Cambria"/>
          <w:b/>
          <w:bCs/>
          <w:sz w:val="24"/>
          <w:szCs w:val="24"/>
        </w:rPr>
        <w:t>Docteur.e.s</w:t>
      </w:r>
      <w:proofErr w:type="spellEnd"/>
      <w:r>
        <w:rPr>
          <w:rFonts w:ascii="Cambria" w:hAnsi="Cambria"/>
          <w:b/>
          <w:bCs/>
          <w:sz w:val="24"/>
          <w:szCs w:val="24"/>
        </w:rPr>
        <w:t xml:space="preserve"> Ameriber</w:t>
      </w:r>
    </w:p>
    <w:p w14:paraId="3CAF6D76" w14:textId="4B4CC621" w:rsidR="00CD5871" w:rsidRPr="00CD5871" w:rsidRDefault="00CD5871" w:rsidP="00206BE0">
      <w:pPr>
        <w:spacing w:after="0" w:line="240" w:lineRule="auto"/>
        <w:jc w:val="both"/>
        <w:rPr>
          <w:rFonts w:ascii="Cambria" w:hAnsi="Cambria"/>
          <w:sz w:val="24"/>
          <w:szCs w:val="24"/>
        </w:rPr>
      </w:pPr>
      <w:r>
        <w:rPr>
          <w:rFonts w:ascii="Cambria" w:hAnsi="Cambria"/>
          <w:sz w:val="24"/>
          <w:szCs w:val="24"/>
        </w:rPr>
        <w:t>Suite à une demande ponctuelle, le Conseil réfléchit actuellement sur l’opportunité de doter au moins minimalement les membres du laboratoire qui viennent de soutenir leur thèse et ne bénéficient donc plus du statut de doctorant. Une prise d’information, en vue de l’éventuelle définition de critères (chronologiques et financier) a été diligentée auprès des Unités de Recherche « comparables » de l’Université, les anglicistes de CLIMAS, les littéraires de PLURIELLES et les historiens du CEMMC, qui ont toutes répondu immédiatement.</w:t>
      </w:r>
    </w:p>
    <w:p w14:paraId="2A0FA821" w14:textId="77777777" w:rsidR="00CD5871" w:rsidRDefault="00CD5871" w:rsidP="00206BE0">
      <w:pPr>
        <w:spacing w:after="0" w:line="240" w:lineRule="auto"/>
        <w:jc w:val="both"/>
        <w:rPr>
          <w:rFonts w:ascii="Cambria" w:hAnsi="Cambria"/>
          <w:b/>
          <w:bCs/>
          <w:sz w:val="24"/>
          <w:szCs w:val="24"/>
        </w:rPr>
      </w:pPr>
    </w:p>
    <w:p w14:paraId="14C65267" w14:textId="2E409578" w:rsidR="00827745" w:rsidRPr="00CD5871" w:rsidRDefault="00CD5871" w:rsidP="00206BE0">
      <w:pPr>
        <w:spacing w:after="0" w:line="240" w:lineRule="auto"/>
        <w:jc w:val="both"/>
        <w:rPr>
          <w:rFonts w:ascii="Cambria" w:hAnsi="Cambria"/>
          <w:b/>
          <w:bCs/>
          <w:i/>
          <w:iCs/>
          <w:sz w:val="24"/>
          <w:szCs w:val="24"/>
        </w:rPr>
      </w:pPr>
      <w:r>
        <w:rPr>
          <w:rFonts w:ascii="Cambria" w:hAnsi="Cambria"/>
          <w:b/>
          <w:bCs/>
          <w:sz w:val="24"/>
          <w:szCs w:val="24"/>
        </w:rPr>
        <w:t xml:space="preserve">-Point 5. </w:t>
      </w:r>
      <w:r w:rsidR="00827745" w:rsidRPr="00CD5871">
        <w:rPr>
          <w:rFonts w:ascii="Cambria" w:hAnsi="Cambria"/>
          <w:b/>
          <w:bCs/>
          <w:sz w:val="24"/>
          <w:szCs w:val="24"/>
        </w:rPr>
        <w:t>Besoin Varia et un CR</w:t>
      </w:r>
      <w:r w:rsidRPr="00CD5871">
        <w:rPr>
          <w:rFonts w:ascii="Cambria" w:hAnsi="Cambria"/>
          <w:b/>
          <w:bCs/>
          <w:sz w:val="24"/>
          <w:szCs w:val="24"/>
        </w:rPr>
        <w:t xml:space="preserve"> pour le</w:t>
      </w:r>
      <w:r>
        <w:rPr>
          <w:rFonts w:ascii="Cambria" w:hAnsi="Cambria"/>
          <w:b/>
          <w:bCs/>
          <w:sz w:val="24"/>
          <w:szCs w:val="24"/>
        </w:rPr>
        <w:t>s</w:t>
      </w:r>
      <w:r w:rsidRPr="00CD5871">
        <w:rPr>
          <w:rFonts w:ascii="Cambria" w:hAnsi="Cambria"/>
          <w:b/>
          <w:bCs/>
          <w:sz w:val="24"/>
          <w:szCs w:val="24"/>
        </w:rPr>
        <w:t xml:space="preserve"> numéro</w:t>
      </w:r>
      <w:r>
        <w:rPr>
          <w:rFonts w:ascii="Cambria" w:hAnsi="Cambria"/>
          <w:b/>
          <w:bCs/>
          <w:sz w:val="24"/>
          <w:szCs w:val="24"/>
        </w:rPr>
        <w:t>s</w:t>
      </w:r>
      <w:r w:rsidRPr="00CD5871">
        <w:rPr>
          <w:rFonts w:ascii="Cambria" w:hAnsi="Cambria"/>
          <w:b/>
          <w:bCs/>
          <w:sz w:val="24"/>
          <w:szCs w:val="24"/>
        </w:rPr>
        <w:t xml:space="preserve"> 9 et 10</w:t>
      </w:r>
      <w:r>
        <w:rPr>
          <w:rFonts w:ascii="Cambria" w:hAnsi="Cambria"/>
          <w:b/>
          <w:bCs/>
          <w:sz w:val="24"/>
          <w:szCs w:val="24"/>
        </w:rPr>
        <w:t xml:space="preserve"> de </w:t>
      </w:r>
      <w:proofErr w:type="spellStart"/>
      <w:r w:rsidRPr="00CD5871">
        <w:rPr>
          <w:rFonts w:ascii="Cambria" w:hAnsi="Cambria"/>
          <w:b/>
          <w:bCs/>
          <w:i/>
          <w:iCs/>
          <w:sz w:val="24"/>
          <w:szCs w:val="24"/>
        </w:rPr>
        <w:t>Conceφtos</w:t>
      </w:r>
      <w:proofErr w:type="spellEnd"/>
    </w:p>
    <w:p w14:paraId="264F4EEE" w14:textId="2430F8FD" w:rsidR="00827745" w:rsidRPr="00CD5871" w:rsidRDefault="00CD5871" w:rsidP="00206BE0">
      <w:pPr>
        <w:spacing w:after="0" w:line="240" w:lineRule="auto"/>
        <w:jc w:val="both"/>
        <w:rPr>
          <w:rFonts w:ascii="Cambria" w:hAnsi="Cambria"/>
          <w:sz w:val="24"/>
          <w:szCs w:val="24"/>
        </w:rPr>
      </w:pPr>
      <w:r w:rsidRPr="00CD5871">
        <w:rPr>
          <w:rFonts w:ascii="Cambria" w:hAnsi="Cambria"/>
          <w:sz w:val="24"/>
          <w:szCs w:val="24"/>
        </w:rPr>
        <w:t>La</w:t>
      </w:r>
      <w:r>
        <w:rPr>
          <w:rFonts w:ascii="Cambria" w:hAnsi="Cambria"/>
          <w:sz w:val="24"/>
          <w:szCs w:val="24"/>
        </w:rPr>
        <w:t xml:space="preserve"> revue a un besoin assez urgent de varia et de comptes rendus pour les numéros de 2024, dont les dossiers sont assez avancés. Toutes les communications annoncées par l’AMA, incluant le colloque d’équipe et la Journée des doctorants, qui seraient compatibles avec la ligne éditoriale de la revue et encore inédites sont particulièrement les bienvenues.</w:t>
      </w:r>
    </w:p>
    <w:sectPr w:rsidR="00827745" w:rsidRPr="00CD5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45"/>
    <w:rsid w:val="00042D09"/>
    <w:rsid w:val="00101C8E"/>
    <w:rsid w:val="00111AFF"/>
    <w:rsid w:val="00123425"/>
    <w:rsid w:val="001953CC"/>
    <w:rsid w:val="00206BE0"/>
    <w:rsid w:val="00756CCE"/>
    <w:rsid w:val="00827745"/>
    <w:rsid w:val="008D529E"/>
    <w:rsid w:val="009A3FD2"/>
    <w:rsid w:val="009A7D7C"/>
    <w:rsid w:val="009E50E8"/>
    <w:rsid w:val="00B23F74"/>
    <w:rsid w:val="00BE37A9"/>
    <w:rsid w:val="00CD5871"/>
    <w:rsid w:val="00CF2E74"/>
    <w:rsid w:val="00D12EC1"/>
    <w:rsid w:val="00D14913"/>
    <w:rsid w:val="00FA52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5705"/>
  <w15:chartTrackingRefBased/>
  <w15:docId w15:val="{1959D282-0057-4BEA-A6EA-06450DA8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7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77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77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77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77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77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77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77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7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77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77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77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77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77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77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77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7745"/>
    <w:rPr>
      <w:rFonts w:eastAsiaTheme="majorEastAsia" w:cstheme="majorBidi"/>
      <w:color w:val="272727" w:themeColor="text1" w:themeTint="D8"/>
    </w:rPr>
  </w:style>
  <w:style w:type="paragraph" w:styleId="Titre">
    <w:name w:val="Title"/>
    <w:basedOn w:val="Normal"/>
    <w:next w:val="Normal"/>
    <w:link w:val="TitreCar"/>
    <w:uiPriority w:val="10"/>
    <w:qFormat/>
    <w:rsid w:val="0082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7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7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7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745"/>
    <w:pPr>
      <w:spacing w:before="160"/>
      <w:jc w:val="center"/>
    </w:pPr>
    <w:rPr>
      <w:i/>
      <w:iCs/>
      <w:color w:val="404040" w:themeColor="text1" w:themeTint="BF"/>
    </w:rPr>
  </w:style>
  <w:style w:type="character" w:customStyle="1" w:styleId="CitationCar">
    <w:name w:val="Citation Car"/>
    <w:basedOn w:val="Policepardfaut"/>
    <w:link w:val="Citation"/>
    <w:uiPriority w:val="29"/>
    <w:rsid w:val="00827745"/>
    <w:rPr>
      <w:i/>
      <w:iCs/>
      <w:color w:val="404040" w:themeColor="text1" w:themeTint="BF"/>
    </w:rPr>
  </w:style>
  <w:style w:type="paragraph" w:styleId="Paragraphedeliste">
    <w:name w:val="List Paragraph"/>
    <w:basedOn w:val="Normal"/>
    <w:uiPriority w:val="34"/>
    <w:qFormat/>
    <w:rsid w:val="00827745"/>
    <w:pPr>
      <w:ind w:left="720"/>
      <w:contextualSpacing/>
    </w:pPr>
  </w:style>
  <w:style w:type="character" w:styleId="Accentuationintense">
    <w:name w:val="Intense Emphasis"/>
    <w:basedOn w:val="Policepardfaut"/>
    <w:uiPriority w:val="21"/>
    <w:qFormat/>
    <w:rsid w:val="00827745"/>
    <w:rPr>
      <w:i/>
      <w:iCs/>
      <w:color w:val="2F5496" w:themeColor="accent1" w:themeShade="BF"/>
    </w:rPr>
  </w:style>
  <w:style w:type="paragraph" w:styleId="Citationintense">
    <w:name w:val="Intense Quote"/>
    <w:basedOn w:val="Normal"/>
    <w:next w:val="Normal"/>
    <w:link w:val="CitationintenseCar"/>
    <w:uiPriority w:val="30"/>
    <w:qFormat/>
    <w:rsid w:val="00827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7745"/>
    <w:rPr>
      <w:i/>
      <w:iCs/>
      <w:color w:val="2F5496" w:themeColor="accent1" w:themeShade="BF"/>
    </w:rPr>
  </w:style>
  <w:style w:type="character" w:styleId="Rfrenceintense">
    <w:name w:val="Intense Reference"/>
    <w:basedOn w:val="Policepardfaut"/>
    <w:uiPriority w:val="32"/>
    <w:qFormat/>
    <w:rsid w:val="00827745"/>
    <w:rPr>
      <w:b/>
      <w:bCs/>
      <w:smallCaps/>
      <w:color w:val="2F5496" w:themeColor="accent1" w:themeShade="BF"/>
      <w:spacing w:val="5"/>
    </w:rPr>
  </w:style>
  <w:style w:type="character" w:styleId="Lienhypertexte">
    <w:name w:val="Hyperlink"/>
    <w:basedOn w:val="Policepardfaut"/>
    <w:uiPriority w:val="99"/>
    <w:semiHidden/>
    <w:unhideWhenUsed/>
    <w:rsid w:val="00FA5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drv.ms/x/s!AmsnknJFwRp9lvAUq8E_4fiK_v1FXQ?e=lb9y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704</Words>
  <Characters>3873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9</cp:revision>
  <dcterms:created xsi:type="dcterms:W3CDTF">2024-03-26T14:52:00Z</dcterms:created>
  <dcterms:modified xsi:type="dcterms:W3CDTF">2024-03-27T15:11:00Z</dcterms:modified>
</cp:coreProperties>
</file>